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A" w:rsidRDefault="00C84C1A" w:rsidP="00C84C1A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29AA35C" wp14:editId="79EFE0D7">
            <wp:extent cx="1905635" cy="1144905"/>
            <wp:effectExtent l="0" t="0" r="0" b="0"/>
            <wp:docPr id="1" name="Image 1" descr="Résultat de recherche d'images pour &quot;cng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ngof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73">
        <w:rPr>
          <w:b/>
        </w:rPr>
        <w:t xml:space="preserve">                                                                     </w:t>
      </w:r>
      <w:r>
        <w:rPr>
          <w:b/>
          <w:noProof/>
          <w:lang w:eastAsia="fr-FR"/>
        </w:rPr>
        <w:drawing>
          <wp:inline distT="0" distB="0" distL="0" distR="0">
            <wp:extent cx="1071685" cy="1037579"/>
            <wp:effectExtent l="0" t="0" r="0" b="0"/>
            <wp:docPr id="2" name="Image 2" descr="C:\Users\3044416\AppData\Local\Microsoft\Windows\INetCache\Content.MSO\4D08D2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4416\AppData\Local\Microsoft\Windows\INetCache\Content.MSO\4D08D22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8" cy="10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C9" w:rsidRPr="00C84C1A" w:rsidRDefault="00442162" w:rsidP="00C84C1A">
      <w:pPr>
        <w:jc w:val="center"/>
        <w:rPr>
          <w:b/>
        </w:rPr>
      </w:pPr>
      <w:r w:rsidRPr="00C84C1A">
        <w:rPr>
          <w:b/>
        </w:rPr>
        <w:t>Communiqué</w:t>
      </w:r>
      <w:r w:rsidR="00C84C1A" w:rsidRPr="00C84C1A">
        <w:rPr>
          <w:b/>
        </w:rPr>
        <w:t xml:space="preserve"> CNGOF / GRIG </w:t>
      </w:r>
      <w:r w:rsidRPr="00C84C1A">
        <w:rPr>
          <w:b/>
        </w:rPr>
        <w:t> :</w:t>
      </w:r>
    </w:p>
    <w:p w:rsidR="00442162" w:rsidRPr="00C84C1A" w:rsidRDefault="00442162" w:rsidP="00C84C1A">
      <w:pPr>
        <w:jc w:val="center"/>
        <w:rPr>
          <w:b/>
        </w:rPr>
      </w:pPr>
      <w:r w:rsidRPr="00C84C1A">
        <w:rPr>
          <w:b/>
        </w:rPr>
        <w:t xml:space="preserve">Toxoplasmose </w:t>
      </w:r>
      <w:r w:rsidR="000D74AF" w:rsidRPr="00C84C1A">
        <w:rPr>
          <w:b/>
        </w:rPr>
        <w:t xml:space="preserve">Gestationnelle </w:t>
      </w:r>
      <w:r w:rsidRPr="00C84C1A">
        <w:rPr>
          <w:b/>
        </w:rPr>
        <w:t>et rupture de stock de Spiramycine</w:t>
      </w:r>
    </w:p>
    <w:p w:rsidR="00442162" w:rsidRDefault="00442162" w:rsidP="00442162">
      <w:pPr>
        <w:jc w:val="both"/>
      </w:pPr>
    </w:p>
    <w:p w:rsidR="00442162" w:rsidRDefault="00442162" w:rsidP="00442162">
      <w:pPr>
        <w:jc w:val="both"/>
      </w:pPr>
    </w:p>
    <w:p w:rsidR="00442162" w:rsidRDefault="00442162" w:rsidP="00442162">
      <w:pPr>
        <w:jc w:val="both"/>
      </w:pPr>
      <w:r>
        <w:t xml:space="preserve">Il a été signalé </w:t>
      </w:r>
      <w:r w:rsidR="000D74AF">
        <w:t xml:space="preserve">par certains centres </w:t>
      </w:r>
      <w:r w:rsidRPr="003A631F">
        <w:rPr>
          <w:b/>
        </w:rPr>
        <w:t>une rupture de stock de la spiramycine</w:t>
      </w:r>
      <w:r>
        <w:t xml:space="preserve">, médicament notamment prescrit en cas de toxoplasmose acquise pendant la grossesse. </w:t>
      </w:r>
    </w:p>
    <w:p w:rsidR="003A631F" w:rsidRDefault="00442162" w:rsidP="003A631F">
      <w:pPr>
        <w:jc w:val="both"/>
      </w:pPr>
      <w:r>
        <w:t xml:space="preserve">En cas de primo infection </w:t>
      </w:r>
      <w:r w:rsidR="000D74AF">
        <w:t xml:space="preserve">avérée </w:t>
      </w:r>
      <w:r>
        <w:t>au premier trimestre</w:t>
      </w:r>
      <w:r w:rsidR="000D74AF">
        <w:t xml:space="preserve"> de la grossesse</w:t>
      </w:r>
      <w:r>
        <w:t xml:space="preserve">, afin de diminuer le taux de transmission materno fœtal, la spiramycine est indiquée en première intention. </w:t>
      </w:r>
      <w:r w:rsidR="003A631F">
        <w:t>A défaut de pouvoir la prescrire, il est licite de proposer l’azithrocymine (1 comprimé 250 mg x 2/j)</w:t>
      </w:r>
      <w:r w:rsidR="00BB56D1">
        <w:t>.</w:t>
      </w:r>
    </w:p>
    <w:p w:rsidR="00442162" w:rsidRDefault="00442162" w:rsidP="00442162">
      <w:pPr>
        <w:jc w:val="both"/>
      </w:pPr>
    </w:p>
    <w:p w:rsidR="00442162" w:rsidRDefault="000D74AF" w:rsidP="00442162">
      <w:pPr>
        <w:jc w:val="both"/>
      </w:pPr>
      <w:r>
        <w:rPr>
          <w:b/>
        </w:rPr>
        <w:t xml:space="preserve">Nous rappelons </w:t>
      </w:r>
      <w:r w:rsidRPr="000D74AF">
        <w:t>qu’</w:t>
      </w:r>
      <w:r w:rsidR="003A631F" w:rsidRPr="000D74AF">
        <w:t>à</w:t>
      </w:r>
      <w:r w:rsidR="00442162">
        <w:t xml:space="preserve"> partir de 14SA, </w:t>
      </w:r>
      <w:r w:rsidR="00442162" w:rsidRPr="003A631F">
        <w:rPr>
          <w:b/>
        </w:rPr>
        <w:t xml:space="preserve">c’est l’association pyrimethamine sulfadiazine qui est </w:t>
      </w:r>
      <w:r>
        <w:rPr>
          <w:b/>
        </w:rPr>
        <w:t>recommandée</w:t>
      </w:r>
      <w:r w:rsidR="00442162">
        <w:t xml:space="preserve">. </w:t>
      </w:r>
    </w:p>
    <w:p w:rsidR="00442162" w:rsidRDefault="00442162" w:rsidP="00442162">
      <w:pPr>
        <w:jc w:val="both"/>
      </w:pPr>
    </w:p>
    <w:p w:rsidR="00442162" w:rsidRPr="000D74AF" w:rsidRDefault="000D74AF" w:rsidP="00442162">
      <w:pPr>
        <w:jc w:val="both"/>
      </w:pPr>
      <w:r w:rsidRPr="000D74AF">
        <w:t>L. Mandelbrot, F. Kieffer</w:t>
      </w:r>
      <w:r>
        <w:t>, M. Wallon</w:t>
      </w:r>
      <w:r w:rsidRPr="000D74AF">
        <w:t xml:space="preserve">, N. Winer, J. Massardier, O. Picone, F. Fuchs, G. Benoist, </w:t>
      </w:r>
      <w:r w:rsidR="00CA6F2E">
        <w:t xml:space="preserve">P. </w:t>
      </w:r>
      <w:r w:rsidRPr="000D74AF">
        <w:t>Garcia-Meric, C. L’Ollivier, L. Paris, R. Piarroux, I. Villena, F. Peyron</w:t>
      </w:r>
    </w:p>
    <w:p w:rsidR="00442162" w:rsidRPr="000D74AF" w:rsidRDefault="00442162" w:rsidP="00442162">
      <w:pPr>
        <w:jc w:val="both"/>
      </w:pPr>
    </w:p>
    <w:p w:rsidR="00442162" w:rsidRDefault="00442162" w:rsidP="00442162">
      <w:pPr>
        <w:jc w:val="both"/>
      </w:pPr>
      <w:r>
        <w:t xml:space="preserve">Ref : </w:t>
      </w:r>
    </w:p>
    <w:p w:rsidR="00442162" w:rsidRDefault="00442162" w:rsidP="00442162">
      <w:pPr>
        <w:jc w:val="both"/>
      </w:pPr>
      <w:r>
        <w:t>Toxoplasmose pendant la grossesse : proposition actuelle de prise en charge pratique</w:t>
      </w:r>
    </w:p>
    <w:p w:rsidR="00442162" w:rsidRDefault="00442162" w:rsidP="00442162">
      <w:pPr>
        <w:jc w:val="both"/>
      </w:pPr>
      <w:r>
        <w:t>Gynécologie Obstétrique Fertilité &amp; Sénologie 49 (2021) 782–791</w:t>
      </w:r>
    </w:p>
    <w:sectPr w:rsidR="00442162" w:rsidSect="00442162">
      <w:pgSz w:w="11906" w:h="16838" w:code="9"/>
      <w:pgMar w:top="1417" w:right="1417" w:bottom="1417" w:left="1417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62"/>
    <w:rsid w:val="000D74AF"/>
    <w:rsid w:val="003A631F"/>
    <w:rsid w:val="00442162"/>
    <w:rsid w:val="00495E07"/>
    <w:rsid w:val="00696073"/>
    <w:rsid w:val="007D5FB7"/>
    <w:rsid w:val="00BB56D1"/>
    <w:rsid w:val="00BF131A"/>
    <w:rsid w:val="00C16BC9"/>
    <w:rsid w:val="00C84C1A"/>
    <w:rsid w:val="00C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 Olivier</dc:creator>
  <cp:lastModifiedBy>BOUTHRY ELISE</cp:lastModifiedBy>
  <cp:revision>2</cp:revision>
  <dcterms:created xsi:type="dcterms:W3CDTF">2023-01-23T14:25:00Z</dcterms:created>
  <dcterms:modified xsi:type="dcterms:W3CDTF">2023-01-23T14:25:00Z</dcterms:modified>
</cp:coreProperties>
</file>